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1199" w:type="dxa"/>
        <w:tblInd w:w="-1139" w:type="dxa"/>
        <w:tblLayout w:type="fixed"/>
        <w:tblLook w:val="04A0" w:firstRow="1" w:lastRow="0" w:firstColumn="1" w:lastColumn="0" w:noHBand="0" w:noVBand="1"/>
      </w:tblPr>
      <w:tblGrid>
        <w:gridCol w:w="11199"/>
      </w:tblGrid>
      <w:tr w:rsidR="00D707BC" w:rsidTr="00024A49">
        <w:trPr>
          <w:trHeight w:val="3954"/>
        </w:trPr>
        <w:tc>
          <w:tcPr>
            <w:tcW w:w="11199" w:type="dxa"/>
            <w:tcBorders>
              <w:top w:val="single" w:sz="4" w:space="0" w:color="auto"/>
              <w:left w:val="single" w:sz="4" w:space="0" w:color="auto"/>
              <w:bottom w:val="single" w:sz="4" w:space="0" w:color="auto"/>
              <w:right w:val="single" w:sz="4" w:space="0" w:color="auto"/>
            </w:tcBorders>
          </w:tcPr>
          <w:p w:rsidR="00D707BC" w:rsidRDefault="00D707BC" w:rsidP="00024A49">
            <w:pPr>
              <w:pStyle w:val="ConsPlusNormal"/>
              <w:jc w:val="both"/>
              <w:rPr>
                <w:sz w:val="28"/>
                <w:szCs w:val="28"/>
                <w:lang w:eastAsia="en-US"/>
              </w:rPr>
            </w:pPr>
          </w:p>
          <w:tbl>
            <w:tblPr>
              <w:tblStyle w:val="a3"/>
              <w:tblW w:w="11086" w:type="dxa"/>
              <w:tblLayout w:type="fixed"/>
              <w:tblLook w:val="04A0" w:firstRow="1" w:lastRow="0" w:firstColumn="1" w:lastColumn="0" w:noHBand="0" w:noVBand="1"/>
            </w:tblPr>
            <w:tblGrid>
              <w:gridCol w:w="4859"/>
              <w:gridCol w:w="6227"/>
            </w:tblGrid>
            <w:tr w:rsidR="00D707BC" w:rsidTr="00024A49">
              <w:trPr>
                <w:trHeight w:val="3036"/>
              </w:trPr>
              <w:tc>
                <w:tcPr>
                  <w:tcW w:w="4859" w:type="dxa"/>
                  <w:tcBorders>
                    <w:top w:val="single" w:sz="4" w:space="0" w:color="auto"/>
                    <w:left w:val="single" w:sz="4" w:space="0" w:color="auto"/>
                    <w:bottom w:val="single" w:sz="4" w:space="0" w:color="auto"/>
                    <w:right w:val="single" w:sz="4" w:space="0" w:color="auto"/>
                  </w:tcBorders>
                  <w:hideMark/>
                </w:tcPr>
                <w:p w:rsidR="00D707BC" w:rsidRDefault="00D707BC" w:rsidP="00024A49">
                  <w:pPr>
                    <w:pStyle w:val="ConsPlusNormal"/>
                    <w:tabs>
                      <w:tab w:val="left" w:pos="87"/>
                      <w:tab w:val="left" w:pos="3432"/>
                    </w:tabs>
                    <w:ind w:left="-234"/>
                    <w:jc w:val="center"/>
                    <w:rPr>
                      <w:sz w:val="28"/>
                      <w:szCs w:val="28"/>
                      <w:lang w:eastAsia="en-US"/>
                    </w:rPr>
                  </w:pPr>
                  <w:r>
                    <w:rPr>
                      <w:noProof/>
                    </w:rPr>
                    <w:drawing>
                      <wp:inline distT="0" distB="0" distL="0" distR="0" wp14:anchorId="181210E7" wp14:editId="081F285E">
                        <wp:extent cx="1798320" cy="1973580"/>
                        <wp:effectExtent l="0" t="0" r="0" b="7620"/>
                        <wp:docPr id="4" name="Рисунок 4" descr="https://fp-sk.ru/upload/medialibrary/10b/10bcf1192035a9fec67fa9fee2934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p-sk.ru/upload/medialibrary/10b/10bcf1192035a9fec67fa9fee2934339.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8320" cy="1973580"/>
                                </a:xfrm>
                                <a:prstGeom prst="rect">
                                  <a:avLst/>
                                </a:prstGeom>
                                <a:noFill/>
                                <a:ln>
                                  <a:noFill/>
                                </a:ln>
                              </pic:spPr>
                            </pic:pic>
                          </a:graphicData>
                        </a:graphic>
                      </wp:inline>
                    </w:drawing>
                  </w:r>
                  <w:r>
                    <w:rPr>
                      <w:noProof/>
                    </w:rPr>
                    <w:drawing>
                      <wp:inline distT="0" distB="0" distL="0" distR="0" wp14:anchorId="2E5C4556" wp14:editId="24DCCE02">
                        <wp:extent cx="1036320" cy="1501140"/>
                        <wp:effectExtent l="0" t="0" r="0" b="3810"/>
                        <wp:docPr id="5" name="Рисунок 5" descr="https://sosh10.edu95.ru/index.php?component=download&amp;file=97b966d5135be7bee0f1a21412b21b809bb21f66f938535d4ac9685a18629974&amp;vi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osh10.edu95.ru/index.php?component=download&amp;file=97b966d5135be7bee0f1a21412b21b809bb21f66f938535d4ac9685a18629974&amp;view=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0713" cy="1565444"/>
                                </a:xfrm>
                                <a:prstGeom prst="rect">
                                  <a:avLst/>
                                </a:prstGeom>
                                <a:noFill/>
                                <a:ln>
                                  <a:noFill/>
                                </a:ln>
                              </pic:spPr>
                            </pic:pic>
                          </a:graphicData>
                        </a:graphic>
                      </wp:inline>
                    </w:drawing>
                  </w:r>
                  <w:r>
                    <w:rPr>
                      <w:sz w:val="28"/>
                      <w:szCs w:val="28"/>
                      <w:lang w:eastAsia="en-US"/>
                    </w:rPr>
                    <w:t>Правовая инспекция труда Профсоюза</w:t>
                  </w:r>
                </w:p>
              </w:tc>
              <w:tc>
                <w:tcPr>
                  <w:tcW w:w="6227" w:type="dxa"/>
                  <w:tcBorders>
                    <w:top w:val="single" w:sz="4" w:space="0" w:color="auto"/>
                    <w:left w:val="single" w:sz="4" w:space="0" w:color="auto"/>
                    <w:bottom w:val="single" w:sz="4" w:space="0" w:color="auto"/>
                    <w:right w:val="single" w:sz="4" w:space="0" w:color="auto"/>
                  </w:tcBorders>
                </w:tcPr>
                <w:p w:rsidR="00D707BC" w:rsidRDefault="00D707BC" w:rsidP="00024A49">
                  <w:pPr>
                    <w:jc w:val="center"/>
                    <w:rPr>
                      <w:b/>
                      <w:sz w:val="28"/>
                      <w:szCs w:val="28"/>
                    </w:rPr>
                  </w:pPr>
                  <w:r>
                    <w:rPr>
                      <w:b/>
                      <w:sz w:val="28"/>
                      <w:szCs w:val="28"/>
                    </w:rPr>
                    <w:t xml:space="preserve">КАЛУЖСКАЯ ОБЛАСТНАЯ ОРГАНИЗАЦИЯ </w:t>
                  </w:r>
                </w:p>
                <w:p w:rsidR="00D707BC" w:rsidRPr="006355F5" w:rsidRDefault="00D707BC" w:rsidP="00024A49">
                  <w:pPr>
                    <w:jc w:val="center"/>
                    <w:rPr>
                      <w:b/>
                      <w:szCs w:val="28"/>
                    </w:rPr>
                  </w:pPr>
                  <w:r>
                    <w:rPr>
                      <w:b/>
                      <w:szCs w:val="28"/>
                    </w:rPr>
                    <w:t>ОБЩЕРОССИЙСКОГО</w:t>
                  </w:r>
                  <w:r w:rsidRPr="002B36EE">
                    <w:rPr>
                      <w:b/>
                      <w:szCs w:val="28"/>
                    </w:rPr>
                    <w:t xml:space="preserve"> ПРОФСОЮЗ</w:t>
                  </w:r>
                  <w:r>
                    <w:rPr>
                      <w:b/>
                      <w:szCs w:val="28"/>
                    </w:rPr>
                    <w:t>А</w:t>
                  </w:r>
                  <w:r w:rsidRPr="002B36EE">
                    <w:rPr>
                      <w:b/>
                      <w:szCs w:val="28"/>
                    </w:rPr>
                    <w:t xml:space="preserve"> ОБРАЗОВАНИЯ</w:t>
                  </w:r>
                </w:p>
                <w:p w:rsidR="00D707BC" w:rsidRDefault="00D707BC" w:rsidP="00024A49">
                  <w:pPr>
                    <w:pStyle w:val="ConsPlusTitle"/>
                    <w:jc w:val="center"/>
                  </w:pPr>
                </w:p>
                <w:p w:rsidR="00D707BC" w:rsidRPr="00A037AE" w:rsidRDefault="00D707BC" w:rsidP="00024A49">
                  <w:pPr>
                    <w:pStyle w:val="ConsPlusTitle"/>
                    <w:jc w:val="center"/>
                    <w:rPr>
                      <w:color w:val="222A35" w:themeColor="text2" w:themeShade="80"/>
                      <w:lang w:eastAsia="en-US"/>
                    </w:rPr>
                  </w:pPr>
                  <w:hyperlink r:id="rId6" w:history="1">
                    <w:r w:rsidRPr="00A037AE">
                      <w:rPr>
                        <w:rStyle w:val="a4"/>
                        <w:color w:val="222A35" w:themeColor="text2" w:themeShade="80"/>
                        <w:sz w:val="28"/>
                        <w:szCs w:val="28"/>
                      </w:rPr>
                      <w:t>https://www.eseur.ru/kaluga/</w:t>
                    </w:r>
                  </w:hyperlink>
                </w:p>
                <w:p w:rsidR="00D707BC" w:rsidRPr="00A037AE" w:rsidRDefault="00D707BC" w:rsidP="00024A49">
                  <w:pPr>
                    <w:pStyle w:val="ConsPlusTitle"/>
                    <w:jc w:val="center"/>
                    <w:rPr>
                      <w:color w:val="222A35" w:themeColor="text2" w:themeShade="80"/>
                      <w:sz w:val="32"/>
                      <w:szCs w:val="32"/>
                      <w:lang w:eastAsia="en-US"/>
                    </w:rPr>
                  </w:pPr>
                </w:p>
                <w:p w:rsidR="00D707BC" w:rsidRPr="00A037AE" w:rsidRDefault="00D707BC" w:rsidP="00024A49">
                  <w:pPr>
                    <w:pStyle w:val="ConsPlusTitle"/>
                    <w:jc w:val="center"/>
                    <w:rPr>
                      <w:color w:val="FF0000"/>
                      <w:sz w:val="32"/>
                      <w:szCs w:val="32"/>
                      <w:lang w:eastAsia="en-US"/>
                    </w:rPr>
                  </w:pPr>
                  <w:r w:rsidRPr="00A037AE">
                    <w:rPr>
                      <w:color w:val="FF0000"/>
                      <w:sz w:val="32"/>
                      <w:szCs w:val="32"/>
                      <w:lang w:eastAsia="en-US"/>
                    </w:rPr>
                    <w:t>Информационный листок №</w:t>
                  </w:r>
                  <w:r>
                    <w:rPr>
                      <w:color w:val="FF0000"/>
                      <w:sz w:val="32"/>
                      <w:szCs w:val="32"/>
                      <w:lang w:eastAsia="en-US"/>
                    </w:rPr>
                    <w:t>21</w:t>
                  </w:r>
                </w:p>
                <w:p w:rsidR="00D707BC" w:rsidRPr="0080747D" w:rsidRDefault="00D707BC" w:rsidP="00024A49">
                  <w:pPr>
                    <w:ind w:firstLine="540"/>
                    <w:jc w:val="both"/>
                    <w:rPr>
                      <w:rFonts w:ascii="Times New Roman" w:hAnsi="Times New Roman" w:cs="Times New Roman"/>
                      <w:b/>
                      <w:bCs/>
                      <w:color w:val="ED7D31" w:themeColor="accent2"/>
                      <w:kern w:val="36"/>
                      <w:sz w:val="28"/>
                      <w:szCs w:val="28"/>
                    </w:rPr>
                  </w:pPr>
                  <w:r>
                    <w:rPr>
                      <w:rFonts w:ascii="Times New Roman" w:hAnsi="Times New Roman" w:cs="Times New Roman"/>
                      <w:b/>
                      <w:bCs/>
                      <w:color w:val="ED7D31" w:themeColor="accent2"/>
                      <w:kern w:val="36"/>
                      <w:sz w:val="28"/>
                      <w:szCs w:val="28"/>
                    </w:rPr>
                    <w:t xml:space="preserve"> </w:t>
                  </w:r>
                </w:p>
                <w:p w:rsidR="00D707BC" w:rsidRPr="00984EC2" w:rsidRDefault="00D707BC" w:rsidP="00024A49">
                  <w:pPr>
                    <w:pStyle w:val="Default"/>
                    <w:jc w:val="center"/>
                    <w:rPr>
                      <w:rFonts w:ascii="Times New Roman" w:hAnsi="Times New Roman" w:cs="Times New Roman"/>
                      <w:b/>
                      <w:bCs/>
                      <w:color w:val="ED7D31" w:themeColor="accent2"/>
                      <w:kern w:val="36"/>
                      <w:sz w:val="28"/>
                      <w:szCs w:val="28"/>
                    </w:rPr>
                  </w:pPr>
                  <w:r>
                    <w:rPr>
                      <w:rFonts w:ascii="Times New Roman" w:hAnsi="Times New Roman" w:cs="Times New Roman"/>
                      <w:b/>
                      <w:bCs/>
                      <w:color w:val="ED7D31" w:themeColor="accent2"/>
                      <w:kern w:val="36"/>
                      <w:sz w:val="28"/>
                      <w:szCs w:val="28"/>
                    </w:rPr>
                    <w:t>Судебная практика</w:t>
                  </w:r>
                </w:p>
              </w:tc>
            </w:tr>
          </w:tbl>
          <w:p w:rsidR="00D707BC" w:rsidRDefault="00D707BC" w:rsidP="00024A49">
            <w:pPr>
              <w:pStyle w:val="ConsPlusNormal"/>
              <w:jc w:val="both"/>
              <w:rPr>
                <w:sz w:val="28"/>
                <w:szCs w:val="28"/>
                <w:lang w:eastAsia="en-US"/>
              </w:rPr>
            </w:pPr>
          </w:p>
        </w:tc>
      </w:tr>
      <w:tr w:rsidR="00D707BC" w:rsidTr="00024A49">
        <w:tc>
          <w:tcPr>
            <w:tcW w:w="11199" w:type="dxa"/>
            <w:tcBorders>
              <w:top w:val="single" w:sz="4" w:space="0" w:color="auto"/>
              <w:left w:val="single" w:sz="4" w:space="0" w:color="auto"/>
              <w:bottom w:val="single" w:sz="4" w:space="0" w:color="auto"/>
              <w:right w:val="single" w:sz="4" w:space="0" w:color="auto"/>
            </w:tcBorders>
          </w:tcPr>
          <w:p w:rsidR="00D707BC" w:rsidRDefault="00D707BC" w:rsidP="00D707BC">
            <w:pPr>
              <w:pStyle w:val="Default"/>
              <w:rPr>
                <w:b/>
                <w:bCs/>
                <w:sz w:val="23"/>
                <w:szCs w:val="23"/>
              </w:rPr>
            </w:pPr>
          </w:p>
          <w:p w:rsidR="00D707BC" w:rsidRDefault="00D707BC" w:rsidP="00D707BC">
            <w:pPr>
              <w:pStyle w:val="Default"/>
              <w:jc w:val="center"/>
              <w:rPr>
                <w:b/>
                <w:bCs/>
                <w:sz w:val="23"/>
                <w:szCs w:val="23"/>
              </w:rPr>
            </w:pPr>
            <w:r>
              <w:rPr>
                <w:b/>
                <w:bCs/>
                <w:sz w:val="23"/>
                <w:szCs w:val="23"/>
              </w:rPr>
              <w:t>Код не указан, пенсии-нет.</w:t>
            </w:r>
          </w:p>
          <w:p w:rsidR="00D707BC" w:rsidRDefault="00D707BC" w:rsidP="00D707BC">
            <w:pPr>
              <w:pStyle w:val="Default"/>
              <w:jc w:val="center"/>
              <w:rPr>
                <w:b/>
                <w:bCs/>
                <w:sz w:val="23"/>
                <w:szCs w:val="23"/>
              </w:rPr>
            </w:pPr>
          </w:p>
          <w:p w:rsidR="00D707BC" w:rsidRPr="00D707BC" w:rsidRDefault="00D707BC" w:rsidP="00D707BC">
            <w:pPr>
              <w:pStyle w:val="Default"/>
              <w:jc w:val="both"/>
              <w:rPr>
                <w:rFonts w:ascii="Calibri" w:hAnsi="Calibri" w:cs="Calibri"/>
                <w:bCs/>
                <w:sz w:val="23"/>
                <w:szCs w:val="23"/>
              </w:rPr>
            </w:pPr>
            <w:r>
              <w:rPr>
                <w:rFonts w:ascii="Calibri" w:hAnsi="Calibri" w:cs="Calibri"/>
                <w:b/>
                <w:bCs/>
                <w:sz w:val="23"/>
                <w:szCs w:val="23"/>
              </w:rPr>
              <w:t xml:space="preserve">      </w:t>
            </w:r>
            <w:r w:rsidRPr="00D707BC">
              <w:rPr>
                <w:rFonts w:ascii="Calibri" w:hAnsi="Calibri" w:cs="Calibri"/>
                <w:bCs/>
                <w:sz w:val="23"/>
                <w:szCs w:val="23"/>
              </w:rPr>
              <w:t>Управление установления пе</w:t>
            </w:r>
            <w:r>
              <w:rPr>
                <w:rFonts w:ascii="Calibri" w:hAnsi="Calibri" w:cs="Calibri"/>
                <w:bCs/>
                <w:sz w:val="23"/>
                <w:szCs w:val="23"/>
              </w:rPr>
              <w:t xml:space="preserve">нсий ОСФР по Калужской области </w:t>
            </w:r>
            <w:bookmarkStart w:id="0" w:name="_GoBack"/>
            <w:bookmarkEnd w:id="0"/>
            <w:r w:rsidRPr="00D707BC">
              <w:rPr>
                <w:rFonts w:ascii="Calibri" w:hAnsi="Calibri" w:cs="Calibri"/>
                <w:bCs/>
                <w:sz w:val="23"/>
                <w:szCs w:val="23"/>
              </w:rPr>
              <w:t xml:space="preserve">(или Социальный фонд, как он теперь называется) продолжает находить все новые причины для отказа педагогическим работникам в назначении досрочных пенсий. </w:t>
            </w:r>
          </w:p>
          <w:p w:rsidR="00D707BC" w:rsidRPr="00D707BC" w:rsidRDefault="00D707BC" w:rsidP="00D707BC">
            <w:pPr>
              <w:pStyle w:val="Default"/>
              <w:jc w:val="both"/>
              <w:rPr>
                <w:rFonts w:ascii="Calibri" w:hAnsi="Calibri" w:cs="Calibri"/>
                <w:bCs/>
                <w:sz w:val="23"/>
                <w:szCs w:val="23"/>
              </w:rPr>
            </w:pPr>
            <w:r w:rsidRPr="00D707BC">
              <w:rPr>
                <w:rFonts w:ascii="Calibri" w:hAnsi="Calibri" w:cs="Calibri"/>
                <w:bCs/>
                <w:sz w:val="23"/>
                <w:szCs w:val="23"/>
              </w:rPr>
              <w:t xml:space="preserve">    По мнению исполнительного органа в области регулирования социально-трудовых гарантий если педагог всю жизнь прилежно проработал в </w:t>
            </w:r>
            <w:proofErr w:type="gramStart"/>
            <w:r w:rsidRPr="00D707BC">
              <w:rPr>
                <w:rFonts w:ascii="Calibri" w:hAnsi="Calibri" w:cs="Calibri"/>
                <w:bCs/>
                <w:sz w:val="23"/>
                <w:szCs w:val="23"/>
              </w:rPr>
              <w:t>образовании ,</w:t>
            </w:r>
            <w:proofErr w:type="gramEnd"/>
            <w:r w:rsidRPr="00D707BC">
              <w:rPr>
                <w:rFonts w:ascii="Calibri" w:hAnsi="Calibri" w:cs="Calibri"/>
                <w:bCs/>
                <w:sz w:val="23"/>
                <w:szCs w:val="23"/>
              </w:rPr>
              <w:t xml:space="preserve"> был официально трудоустроен, уплачивал страховые взносы – все это не гарантирует ему досрочную пенсию за 25 лет педагогического труда. Ошибка работодателя, забывшего проставить код льготы, подтверждающий наличие условий для досрочного назначения пенсии, может стоить работнику нескольких «исчезнувших» лет из стажа. Однако правовая инспекция Калужской областной организации Профсоюза успешно решает и эту проблему на пути достижения положительного результата. </w:t>
            </w:r>
          </w:p>
          <w:p w:rsidR="00D707BC" w:rsidRDefault="00D707BC" w:rsidP="00D707BC">
            <w:pPr>
              <w:pStyle w:val="Default"/>
              <w:jc w:val="both"/>
              <w:rPr>
                <w:rFonts w:ascii="Calibri" w:hAnsi="Calibri" w:cs="Calibri"/>
                <w:color w:val="auto"/>
                <w:sz w:val="23"/>
                <w:szCs w:val="23"/>
              </w:rPr>
            </w:pPr>
            <w:r w:rsidRPr="00D707BC">
              <w:rPr>
                <w:rFonts w:ascii="Calibri" w:hAnsi="Calibri" w:cs="Calibri"/>
                <w:bCs/>
                <w:sz w:val="23"/>
                <w:szCs w:val="23"/>
              </w:rPr>
              <w:t xml:space="preserve">      За последние годы обратилось более 10 человек, где основаниями отказа были периоды работы в должностях учителя начальных классов, учителя математики, воспитателя общежития, воспитателя в детском саду</w:t>
            </w:r>
            <w:r w:rsidRPr="00D707BC">
              <w:rPr>
                <w:sz w:val="23"/>
                <w:szCs w:val="23"/>
              </w:rPr>
              <w:t xml:space="preserve">, </w:t>
            </w:r>
            <w:r w:rsidRPr="00D707BC">
              <w:rPr>
                <w:rFonts w:ascii="Calibri" w:hAnsi="Calibri" w:cs="Calibri"/>
                <w:color w:val="auto"/>
                <w:sz w:val="23"/>
                <w:szCs w:val="23"/>
              </w:rPr>
              <w:t>мотивировав это тем, что в индивидуальном лицевом счете за спорный период работы воспитателем в колледже отсутствует код</w:t>
            </w:r>
            <w:r>
              <w:rPr>
                <w:rFonts w:ascii="Calibri" w:hAnsi="Calibri" w:cs="Calibri"/>
                <w:color w:val="auto"/>
                <w:sz w:val="23"/>
                <w:szCs w:val="23"/>
              </w:rPr>
              <w:t xml:space="preserve"> льготы, подтверждающий наличие условий для назначения досрочной пенсии. Срок выхода на пенсию откладывался у истцов от двух до четырех лет.  </w:t>
            </w:r>
          </w:p>
          <w:p w:rsidR="00D707BC" w:rsidRDefault="00D707BC" w:rsidP="00D707BC">
            <w:pPr>
              <w:pStyle w:val="Default"/>
              <w:jc w:val="both"/>
              <w:rPr>
                <w:color w:val="auto"/>
                <w:sz w:val="23"/>
                <w:szCs w:val="23"/>
              </w:rPr>
            </w:pPr>
            <w:r>
              <w:rPr>
                <w:rFonts w:ascii="Calibri" w:hAnsi="Calibri" w:cs="Calibri"/>
                <w:color w:val="auto"/>
                <w:sz w:val="23"/>
                <w:szCs w:val="23"/>
              </w:rPr>
              <w:t xml:space="preserve">      Позиция доказательной стороны правовой инспекции труда Профсоюза такова, </w:t>
            </w:r>
            <w:proofErr w:type="gramStart"/>
            <w:r>
              <w:rPr>
                <w:rFonts w:ascii="Calibri" w:hAnsi="Calibri" w:cs="Calibri"/>
                <w:color w:val="auto"/>
                <w:sz w:val="23"/>
                <w:szCs w:val="23"/>
              </w:rPr>
              <w:t>если  работодатель</w:t>
            </w:r>
            <w:proofErr w:type="gramEnd"/>
            <w:r>
              <w:rPr>
                <w:rFonts w:ascii="Calibri" w:hAnsi="Calibri" w:cs="Calibri"/>
                <w:color w:val="auto"/>
                <w:sz w:val="23"/>
                <w:szCs w:val="23"/>
              </w:rPr>
              <w:t xml:space="preserve"> не выполнил свою обязанность по предоставлению индивидуальных сведений персонифицированного учета с кодом льготы, то это не может служить основанием для отказа в назначении пенсии. Досрочная страховая пенсия назначается за работу в соответствующих должностях и учреждениях и не связана с наличием кодов, проставленных работодателем. В противном случае назначение гражданину досрочной пенсии будет зависеть не только от специальной работы, но и от надлежащего исполнения работодателем своих обязанностей, что недопустимо. </w:t>
            </w:r>
          </w:p>
          <w:p w:rsidR="00D707BC" w:rsidRPr="00D6177E" w:rsidRDefault="00D707BC" w:rsidP="00D707BC">
            <w:pPr>
              <w:pStyle w:val="Default"/>
              <w:jc w:val="both"/>
              <w:rPr>
                <w:rFonts w:ascii="Calibri" w:hAnsi="Calibri" w:cs="Calibri"/>
                <w:color w:val="auto"/>
                <w:sz w:val="23"/>
                <w:szCs w:val="23"/>
              </w:rPr>
            </w:pPr>
            <w:r>
              <w:rPr>
                <w:rFonts w:ascii="Calibri" w:hAnsi="Calibri" w:cs="Calibri"/>
                <w:color w:val="auto"/>
                <w:sz w:val="23"/>
                <w:szCs w:val="23"/>
              </w:rPr>
              <w:t xml:space="preserve">     Работодатель мог не проставить код по разным причинам: забыл, не знал. Однако работник из-за этой ошибки страдать не должен, поскольку обязанность по представлению в пенсионный орган достоверных сведений лежит на работодателе. Советуем, не опускать руки и обращаться в правовую инспекцию труда Профсоюза.</w:t>
            </w:r>
          </w:p>
          <w:p w:rsidR="00D707BC" w:rsidRPr="00D707BC" w:rsidRDefault="00D707BC" w:rsidP="00D707BC">
            <w:pPr>
              <w:pStyle w:val="Default"/>
              <w:rPr>
                <w:bCs/>
                <w:sz w:val="22"/>
                <w:szCs w:val="22"/>
              </w:rPr>
            </w:pPr>
            <w:r w:rsidRPr="00D707BC">
              <w:rPr>
                <w:sz w:val="22"/>
                <w:szCs w:val="22"/>
              </w:rPr>
              <w:t>С</w:t>
            </w:r>
            <w:r w:rsidRPr="00D707BC">
              <w:rPr>
                <w:sz w:val="22"/>
                <w:szCs w:val="22"/>
              </w:rPr>
              <w:t>м.</w:t>
            </w:r>
            <w:r w:rsidRPr="00D707BC">
              <w:rPr>
                <w:sz w:val="22"/>
                <w:szCs w:val="22"/>
              </w:rPr>
              <w:t xml:space="preserve"> судебную </w:t>
            </w:r>
            <w:proofErr w:type="gramStart"/>
            <w:r w:rsidRPr="00D707BC">
              <w:rPr>
                <w:sz w:val="22"/>
                <w:szCs w:val="22"/>
              </w:rPr>
              <w:t xml:space="preserve">практику:  </w:t>
            </w:r>
            <w:r w:rsidRPr="00D707BC">
              <w:rPr>
                <w:bCs/>
                <w:sz w:val="22"/>
                <w:szCs w:val="22"/>
              </w:rPr>
              <w:t>Решение</w:t>
            </w:r>
            <w:proofErr w:type="gramEnd"/>
            <w:r w:rsidRPr="00D707BC">
              <w:rPr>
                <w:bCs/>
                <w:sz w:val="22"/>
                <w:szCs w:val="22"/>
              </w:rPr>
              <w:t xml:space="preserve"> </w:t>
            </w:r>
            <w:proofErr w:type="spellStart"/>
            <w:r w:rsidRPr="00D707BC">
              <w:rPr>
                <w:bCs/>
                <w:sz w:val="22"/>
                <w:szCs w:val="22"/>
              </w:rPr>
              <w:t>Обнинского</w:t>
            </w:r>
            <w:proofErr w:type="spellEnd"/>
            <w:r w:rsidRPr="00D707BC">
              <w:rPr>
                <w:bCs/>
                <w:sz w:val="22"/>
                <w:szCs w:val="22"/>
              </w:rPr>
              <w:t xml:space="preserve"> городского суда Калужской области от 05 февраля 2020 г. по делу N 2-216/2020</w:t>
            </w:r>
          </w:p>
          <w:p w:rsidR="00D707BC" w:rsidRPr="00D707BC" w:rsidRDefault="00D707BC" w:rsidP="00D707BC">
            <w:pPr>
              <w:pStyle w:val="Default"/>
              <w:rPr>
                <w:sz w:val="22"/>
                <w:szCs w:val="22"/>
              </w:rPr>
            </w:pPr>
          </w:p>
          <w:p w:rsidR="00D707BC" w:rsidRPr="00D707BC" w:rsidRDefault="00D707BC" w:rsidP="00D707BC">
            <w:pPr>
              <w:pStyle w:val="Default"/>
              <w:rPr>
                <w:bCs/>
                <w:sz w:val="22"/>
                <w:szCs w:val="22"/>
              </w:rPr>
            </w:pPr>
            <w:r w:rsidRPr="00D707BC">
              <w:rPr>
                <w:sz w:val="22"/>
                <w:szCs w:val="22"/>
              </w:rPr>
              <w:t xml:space="preserve"> </w:t>
            </w:r>
            <w:r w:rsidRPr="00D707BC">
              <w:rPr>
                <w:bCs/>
                <w:sz w:val="22"/>
                <w:szCs w:val="22"/>
              </w:rPr>
              <w:t xml:space="preserve">Решение </w:t>
            </w:r>
            <w:proofErr w:type="spellStart"/>
            <w:r w:rsidRPr="00D707BC">
              <w:rPr>
                <w:bCs/>
                <w:sz w:val="22"/>
                <w:szCs w:val="22"/>
              </w:rPr>
              <w:t>Козельского</w:t>
            </w:r>
            <w:proofErr w:type="spellEnd"/>
            <w:r w:rsidRPr="00D707BC">
              <w:rPr>
                <w:bCs/>
                <w:sz w:val="22"/>
                <w:szCs w:val="22"/>
              </w:rPr>
              <w:t xml:space="preserve"> районного суда Калужской области от 09 марта 2022 г. по делу N 2-1-71/2022</w:t>
            </w:r>
          </w:p>
          <w:p w:rsidR="00D707BC" w:rsidRPr="00D707BC" w:rsidRDefault="00D707BC" w:rsidP="00D707BC">
            <w:pPr>
              <w:pStyle w:val="Default"/>
              <w:rPr>
                <w:sz w:val="22"/>
                <w:szCs w:val="22"/>
              </w:rPr>
            </w:pPr>
          </w:p>
          <w:p w:rsidR="00D707BC" w:rsidRPr="00D707BC" w:rsidRDefault="00D707BC" w:rsidP="00D707BC">
            <w:pPr>
              <w:pStyle w:val="Default"/>
              <w:rPr>
                <w:rFonts w:ascii="Calibri" w:hAnsi="Calibri" w:cs="Calibri"/>
                <w:sz w:val="22"/>
                <w:szCs w:val="22"/>
              </w:rPr>
            </w:pPr>
            <w:r w:rsidRPr="00D707BC">
              <w:rPr>
                <w:sz w:val="22"/>
                <w:szCs w:val="22"/>
              </w:rPr>
              <w:t xml:space="preserve"> </w:t>
            </w:r>
            <w:r w:rsidRPr="00D707BC">
              <w:rPr>
                <w:bCs/>
                <w:sz w:val="22"/>
                <w:szCs w:val="22"/>
              </w:rPr>
              <w:t>Решение Калужского районного суда Калужской области от 03 июля 2020 г. по делу N 2-4729/2020</w:t>
            </w:r>
          </w:p>
          <w:p w:rsidR="00D707BC" w:rsidRPr="00935005" w:rsidRDefault="00D707BC" w:rsidP="00024A49">
            <w:pPr>
              <w:pStyle w:val="Default"/>
              <w:rPr>
                <w:color w:val="auto"/>
                <w:sz w:val="23"/>
                <w:szCs w:val="23"/>
              </w:rPr>
            </w:pPr>
          </w:p>
        </w:tc>
      </w:tr>
      <w:tr w:rsidR="00D707BC" w:rsidTr="00024A49">
        <w:tc>
          <w:tcPr>
            <w:tcW w:w="11199" w:type="dxa"/>
            <w:tcBorders>
              <w:top w:val="single" w:sz="4" w:space="0" w:color="auto"/>
              <w:left w:val="single" w:sz="4" w:space="0" w:color="auto"/>
              <w:bottom w:val="single" w:sz="4" w:space="0" w:color="auto"/>
              <w:right w:val="single" w:sz="4" w:space="0" w:color="auto"/>
            </w:tcBorders>
          </w:tcPr>
          <w:p w:rsidR="00D707BC" w:rsidRDefault="00D707BC" w:rsidP="00024A49">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p>
          <w:p w:rsidR="00D707BC" w:rsidRPr="00D52B05" w:rsidRDefault="00D707BC" w:rsidP="00024A49">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Калужская областная организация Профсоюза работников народного образования и науки РФ</w:t>
            </w:r>
          </w:p>
          <w:p w:rsidR="00D707BC" w:rsidRPr="00D52B05" w:rsidRDefault="00D707BC" w:rsidP="00024A49">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 xml:space="preserve"> </w:t>
            </w:r>
            <w:proofErr w:type="spellStart"/>
            <w:r w:rsidRPr="00D52B05">
              <w:rPr>
                <w:rFonts w:ascii="Arial" w:hAnsi="Arial" w:cs="Arial"/>
                <w:b/>
                <w:bCs/>
                <w:sz w:val="16"/>
                <w:szCs w:val="16"/>
              </w:rPr>
              <w:t>Тел.факс</w:t>
            </w:r>
            <w:proofErr w:type="spellEnd"/>
            <w:r w:rsidRPr="00D52B05">
              <w:rPr>
                <w:rFonts w:ascii="Arial" w:hAnsi="Arial" w:cs="Arial"/>
                <w:b/>
                <w:bCs/>
                <w:sz w:val="16"/>
                <w:szCs w:val="16"/>
              </w:rPr>
              <w:t>: 57-64-</w:t>
            </w:r>
            <w:proofErr w:type="gramStart"/>
            <w:r w:rsidRPr="00D52B05">
              <w:rPr>
                <w:rFonts w:ascii="Arial" w:hAnsi="Arial" w:cs="Arial"/>
                <w:b/>
                <w:bCs/>
                <w:sz w:val="16"/>
                <w:szCs w:val="16"/>
              </w:rPr>
              <w:t xml:space="preserve">69,  </w:t>
            </w:r>
            <w:proofErr w:type="spellStart"/>
            <w:r w:rsidRPr="00D52B05">
              <w:rPr>
                <w:rFonts w:ascii="Arial" w:hAnsi="Arial" w:cs="Arial"/>
                <w:b/>
                <w:bCs/>
                <w:sz w:val="16"/>
                <w:szCs w:val="16"/>
                <w:lang w:val="en-US"/>
              </w:rPr>
              <w:t>prokaluga</w:t>
            </w:r>
            <w:proofErr w:type="spellEnd"/>
            <w:r w:rsidRPr="00D52B05">
              <w:rPr>
                <w:rFonts w:ascii="Arial" w:hAnsi="Arial" w:cs="Arial"/>
                <w:b/>
                <w:bCs/>
                <w:sz w:val="16"/>
                <w:szCs w:val="16"/>
              </w:rPr>
              <w:t>@</w:t>
            </w:r>
            <w:r w:rsidRPr="00D52B05">
              <w:rPr>
                <w:rFonts w:ascii="Arial" w:hAnsi="Arial" w:cs="Arial"/>
                <w:b/>
                <w:bCs/>
                <w:sz w:val="16"/>
                <w:szCs w:val="16"/>
                <w:lang w:val="en-US"/>
              </w:rPr>
              <w:t>mail</w:t>
            </w:r>
            <w:r w:rsidRPr="00D52B05">
              <w:rPr>
                <w:rFonts w:ascii="Arial" w:hAnsi="Arial" w:cs="Arial"/>
                <w:b/>
                <w:bCs/>
                <w:sz w:val="16"/>
                <w:szCs w:val="16"/>
              </w:rPr>
              <w:t>.</w:t>
            </w:r>
            <w:proofErr w:type="spellStart"/>
            <w:r w:rsidRPr="00D52B05">
              <w:rPr>
                <w:rFonts w:ascii="Arial" w:hAnsi="Arial" w:cs="Arial"/>
                <w:b/>
                <w:bCs/>
                <w:sz w:val="16"/>
                <w:szCs w:val="16"/>
                <w:lang w:val="en-US"/>
              </w:rPr>
              <w:t>ru</w:t>
            </w:r>
            <w:proofErr w:type="spellEnd"/>
            <w:proofErr w:type="gramEnd"/>
          </w:p>
          <w:p w:rsidR="00D707BC" w:rsidRPr="00D52B05" w:rsidRDefault="00D707BC" w:rsidP="00024A49">
            <w:pPr>
              <w:pBdr>
                <w:top w:val="single" w:sz="4" w:space="1" w:color="auto"/>
                <w:left w:val="single" w:sz="4" w:space="4" w:color="auto"/>
                <w:bottom w:val="single" w:sz="4" w:space="1" w:color="auto"/>
                <w:right w:val="single" w:sz="4" w:space="4" w:color="auto"/>
              </w:pBdr>
              <w:tabs>
                <w:tab w:val="left" w:pos="6030"/>
              </w:tabs>
              <w:jc w:val="center"/>
              <w:rPr>
                <w:rFonts w:ascii="Arial" w:hAnsi="Arial" w:cs="Arial"/>
                <w:b/>
                <w:sz w:val="16"/>
                <w:szCs w:val="16"/>
              </w:rPr>
            </w:pPr>
            <w:r>
              <w:rPr>
                <w:rFonts w:ascii="Arial" w:hAnsi="Arial" w:cs="Arial"/>
                <w:b/>
                <w:sz w:val="16"/>
                <w:szCs w:val="16"/>
              </w:rPr>
              <w:t>Калуга, май, 2023</w:t>
            </w:r>
          </w:p>
          <w:p w:rsidR="00D707BC" w:rsidRDefault="00D707BC" w:rsidP="00024A49">
            <w:pPr>
              <w:pBdr>
                <w:top w:val="single" w:sz="4" w:space="1" w:color="auto"/>
                <w:left w:val="single" w:sz="4" w:space="4" w:color="auto"/>
                <w:bottom w:val="single" w:sz="4" w:space="1" w:color="auto"/>
                <w:right w:val="single" w:sz="4" w:space="4" w:color="auto"/>
              </w:pBdr>
              <w:tabs>
                <w:tab w:val="left" w:pos="6030"/>
              </w:tabs>
              <w:jc w:val="center"/>
              <w:rPr>
                <w:sz w:val="28"/>
                <w:szCs w:val="28"/>
              </w:rPr>
            </w:pPr>
            <w:hyperlink r:id="rId7" w:history="1">
              <w:r w:rsidRPr="00D52B05">
                <w:rPr>
                  <w:rStyle w:val="a4"/>
                  <w:color w:val="FF0000"/>
                  <w:sz w:val="16"/>
                  <w:szCs w:val="16"/>
                </w:rPr>
                <w:t>https://www.eseur.ru/kaluga/</w:t>
              </w:r>
            </w:hyperlink>
          </w:p>
        </w:tc>
      </w:tr>
    </w:tbl>
    <w:p w:rsidR="00D707BC" w:rsidRPr="00E051E0" w:rsidRDefault="00D707BC" w:rsidP="00D707BC">
      <w:pPr>
        <w:spacing w:after="0" w:line="240" w:lineRule="auto"/>
        <w:jc w:val="both"/>
        <w:rPr>
          <w:rFonts w:ascii="Times New Roman" w:eastAsia="Times New Roman" w:hAnsi="Times New Roman" w:cs="Times New Roman"/>
          <w:sz w:val="24"/>
          <w:szCs w:val="24"/>
          <w:lang w:eastAsia="ru-RU"/>
        </w:rPr>
      </w:pPr>
    </w:p>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D707BC" w:rsidRDefault="00D707BC" w:rsidP="00D707BC"/>
    <w:p w:rsidR="00847E0C" w:rsidRDefault="00847E0C"/>
    <w:sectPr w:rsidR="00847E0C" w:rsidSect="008E1516">
      <w:pgSz w:w="11906" w:h="16838"/>
      <w:pgMar w:top="426"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PS"/>
    <w:panose1 w:val="02020603050405020304"/>
    <w:charset w:val="CC"/>
    <w:family w:val="roman"/>
    <w:pitch w:val="variable"/>
    <w:sig w:usb0="E0002AFF" w:usb1="C0007841"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7BC"/>
    <w:rsid w:val="00847E0C"/>
    <w:rsid w:val="00D70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059CE"/>
  <w15:chartTrackingRefBased/>
  <w15:docId w15:val="{E38E0E47-2369-4784-B31F-0E7A79D5E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7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D707BC"/>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D70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707BC"/>
    <w:rPr>
      <w:color w:val="0000FF"/>
      <w:u w:val="single"/>
    </w:rPr>
  </w:style>
  <w:style w:type="paragraph" w:customStyle="1" w:styleId="Default">
    <w:name w:val="Default"/>
    <w:rsid w:val="00D707BC"/>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seur.ru/kalug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seur.ru/kaluga/"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453</Words>
  <Characters>2586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2023-05-17T12:05:00Z</dcterms:created>
  <dcterms:modified xsi:type="dcterms:W3CDTF">2023-05-17T12:08:00Z</dcterms:modified>
</cp:coreProperties>
</file>